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361281" w:rsidRPr="00361281" w:rsidTr="00A73694">
        <w:tc>
          <w:tcPr>
            <w:tcW w:w="4124" w:type="dxa"/>
            <w:shd w:val="clear" w:color="auto" w:fill="C6D9F1" w:themeFill="text2" w:themeFillTint="33"/>
          </w:tcPr>
          <w:p w:rsidR="00361281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b/>
                <w:bCs/>
                <w:color w:val="000000"/>
                <w:sz w:val="15"/>
                <w:szCs w:val="15"/>
                <w:lang w:val="en-US" w:eastAsia="ru-RU"/>
              </w:rPr>
              <w:t>Advanced technologies in renewable energy</w:t>
            </w:r>
          </w:p>
        </w:tc>
      </w:tr>
      <w:tr w:rsidR="00361281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361281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2nd year</w:t>
            </w:r>
          </w:p>
        </w:tc>
      </w:tr>
      <w:tr w:rsidR="00361281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3 ECTS credits</w:t>
            </w:r>
          </w:p>
        </w:tc>
      </w:tr>
      <w:tr w:rsidR="00361281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361281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Renewable energy sources</w:t>
            </w:r>
          </w:p>
        </w:tc>
      </w:tr>
      <w:tr w:rsidR="00361281" w:rsidRPr="00361281" w:rsidTr="00A73694">
        <w:tc>
          <w:tcPr>
            <w:tcW w:w="4124" w:type="dxa"/>
          </w:tcPr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discipline is based on the knowledge gained by students during the study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course in wind energy, </w:t>
            </w: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bioenergy</w:t>
            </w:r>
            <w:proofErr w:type="spell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, </w:t>
            </w: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hotovoltaics</w:t>
            </w:r>
            <w:proofErr w:type="spell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, solar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heat energy, geothermal energy and complex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use of renewable energy sources.</w:t>
            </w:r>
          </w:p>
        </w:tc>
      </w:tr>
      <w:tr w:rsidR="00361281" w:rsidTr="00A73694">
        <w:tc>
          <w:tcPr>
            <w:tcW w:w="4124" w:type="dxa"/>
          </w:tcPr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Scientific principles for best practices, organizational and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technological measures of scientific research in the field</w:t>
            </w:r>
          </w:p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renewable energy</w:t>
            </w:r>
          </w:p>
        </w:tc>
      </w:tr>
      <w:tr w:rsidR="00361281" w:rsidRPr="00361281" w:rsidTr="00A73694">
        <w:tc>
          <w:tcPr>
            <w:tcW w:w="4124" w:type="dxa"/>
          </w:tcPr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Formation of a system of abilities to set and solve complex</w:t>
            </w:r>
          </w:p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scientific</w:t>
            </w:r>
            <w:proofErr w:type="gram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tasks during research and innovation activities in the field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renewable energy.</w:t>
            </w:r>
          </w:p>
        </w:tc>
      </w:tr>
      <w:tr w:rsidR="00361281" w:rsidRPr="005D21F6" w:rsidTr="00A73694">
        <w:tc>
          <w:tcPr>
            <w:tcW w:w="4124" w:type="dxa"/>
          </w:tcPr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Apply the necessary research methods in the development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scientific works; use special methods when performing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scientific research; organize and conduct research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 the process of dissertation preparation; carry out testing and implementation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 results in practice; have search skills</w:t>
            </w:r>
          </w:p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independent</w:t>
            </w:r>
            <w:proofErr w:type="gram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solution of scientific problems; choose scientific topics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work.</w:t>
            </w:r>
          </w:p>
        </w:tc>
      </w:tr>
      <w:tr w:rsidR="00361281" w:rsidRPr="00361281" w:rsidTr="00A73694">
        <w:tc>
          <w:tcPr>
            <w:tcW w:w="4124" w:type="dxa"/>
          </w:tcPr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Ability to perform original research, to achieve scientific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results that create new knowledge in the field of renewable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energy; ability to present and discuss orally and in writing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 results in Ukrainian and English;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ability to solve scientific problems to increase reliability and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efficiency of functioning of renewable energy systems,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conditioned by the need to ensure sustainable development of the state;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ability to identify, set and solve research problems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nature in the field of renewable energy, evaluate and</w:t>
            </w:r>
          </w:p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to</w:t>
            </w:r>
            <w:proofErr w:type="gram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ensure the quality of research; ability to adhere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 ethics, as well as the rules of academic integrity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scientific research and scientific and pedagogical activities.</w:t>
            </w:r>
          </w:p>
        </w:tc>
      </w:tr>
      <w:tr w:rsidR="00361281" w:rsidTr="00A73694">
        <w:tc>
          <w:tcPr>
            <w:tcW w:w="4124" w:type="dxa"/>
          </w:tcPr>
          <w:p w:rsidR="00361281" w:rsidRPr="00E34C93" w:rsidRDefault="00361281" w:rsidP="005D48CD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1. Sylabus.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1. Відновлювані джерела енергії / За ред. С.О. Кудрі. – Київ: Інститут 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</w:t>
            </w: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відновлюваної енергетики НАНУ, 2020. – 392 с.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2. Нетрадиційні та відновлювані джерела енергії / Кудря С. О. − Підручник. – Київ: Національний технічний університет України («КПІ»),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2012.–495с.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3. Атлас енергетичного потенціалу відновлюваних джерел енергії України / за ред. С.О. Кудрі. – Київ: Інститут відновлюваної енергетики НАН України, 2020. – 82 с.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4. Кармазін О.О. Балансова надійність електроенергетичних систем в умовах зростання частки відновлюваної енергетики: дис. на здобуття наук. ступеня канд. техн. наук: 14.08.2019 / Кармазін Олексій Олександрович – К., 2019. – 143 с.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5.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Будько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В.І. Використання енергії сонячного випромінювання та вітру для зарядження електромобілів: дис. на здобуття наук. ступеня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докт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. техн. наук: 14.08.2019 /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Будько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Василь Іванович – К., 2019. – 302 с.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6. Вітроенергетика [Електронний ресурс] :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навч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.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посіб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. для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студ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. спеціальності 141 «Електроенергетика, електротехніка,</w:t>
            </w:r>
            <w:r>
              <w:t xml:space="preserve"> </w:t>
            </w: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електромеханіка» / Головко В. М. ; КПІ ім. Ігоря Сікорського. – Електронні текстові дані (1 файл: 5,5 Мбайт). – Київ : КПІ ім. Ігоря Сікорського, 2019. – 88 с.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Additional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: </w:t>
            </w:r>
          </w:p>
          <w:p w:rsidR="00361281" w:rsidRPr="00361281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1. ДСТУ 2275-93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Енергоощадність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. Нетрадиційні та поновлювані джерела енергії. Терміни та визначення. –К.: Держстандарт України, 1994.-52с. </w:t>
            </w:r>
          </w:p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2. Вимоги до вітрових та сонячних електростанцій при їх роботі паралельно з об’єднаною енергетичною системою України: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СОУ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НЕК 341.001:2019. </w:t>
            </w:r>
            <w:proofErr w:type="spellStart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>ДП</w:t>
            </w:r>
            <w:proofErr w:type="spellEnd"/>
            <w:r w:rsidRPr="00361281">
              <w:rPr>
                <w:rFonts w:ascii="Times" w:eastAsia="Times New Roman" w:hAnsi="Times" w:cs="Times"/>
                <w:color w:val="000000"/>
                <w:sz w:val="15"/>
                <w:szCs w:val="15"/>
                <w:lang w:val="uk-UA" w:eastAsia="ru-RU"/>
              </w:rPr>
              <w:t xml:space="preserve"> «НЕК «Укренерго», 2019.</w:t>
            </w:r>
          </w:p>
        </w:tc>
      </w:tr>
      <w:tr w:rsidR="00361281" w:rsidRPr="005D21F6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Classes are held in the form of lectures using a demonstration</w:t>
            </w:r>
          </w:p>
          <w:p w:rsidR="00361281" w:rsidRPr="0094741A" w:rsidRDefault="00361281" w:rsidP="00361281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proofErr w:type="gram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material</w:t>
            </w:r>
            <w:proofErr w:type="gram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and practical classes. Lectures are informative and</w:t>
            </w:r>
          </w:p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problematic</w:t>
            </w:r>
            <w:proofErr w:type="spell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nature</w:t>
            </w:r>
            <w:proofErr w:type="spellEnd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.</w:t>
            </w:r>
          </w:p>
        </w:tc>
      </w:tr>
      <w:tr w:rsidR="00361281" w:rsidTr="00A73694">
        <w:tc>
          <w:tcPr>
            <w:tcW w:w="4124" w:type="dxa"/>
          </w:tcPr>
          <w:p w:rsidR="00361281" w:rsidRDefault="00361281" w:rsidP="005D48C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361281" w:rsidRPr="00E34C93" w:rsidRDefault="00361281" w:rsidP="0036128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741A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Test</w:t>
            </w:r>
            <w:proofErr w:type="spellEnd"/>
          </w:p>
        </w:tc>
      </w:tr>
    </w:tbl>
    <w:p w:rsidR="00361281" w:rsidRDefault="00361281" w:rsidP="0094741A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p w:rsidR="00361281" w:rsidRDefault="00361281" w:rsidP="0094741A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sectPr w:rsidR="00361281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741A"/>
    <w:rsid w:val="002C6A9A"/>
    <w:rsid w:val="00361281"/>
    <w:rsid w:val="004043D6"/>
    <w:rsid w:val="007E61B2"/>
    <w:rsid w:val="0094741A"/>
    <w:rsid w:val="009500AF"/>
    <w:rsid w:val="00AA4B0F"/>
    <w:rsid w:val="00CE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551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2021-04-26T10:07:00Z</dcterms:created>
  <dcterms:modified xsi:type="dcterms:W3CDTF">2021-04-26T10:16:00Z</dcterms:modified>
</cp:coreProperties>
</file>