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2E" w:rsidRDefault="00D8472E" w:rsidP="006059F8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4124"/>
        <w:gridCol w:w="4124"/>
      </w:tblGrid>
      <w:tr w:rsidR="00D8472E" w:rsidRPr="002073A1" w:rsidTr="003F0807">
        <w:tc>
          <w:tcPr>
            <w:tcW w:w="4124" w:type="dxa"/>
            <w:shd w:val="clear" w:color="auto" w:fill="C6D9F1" w:themeFill="text2" w:themeFillTint="33"/>
          </w:tcPr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D8472E" w:rsidRPr="00E34C93" w:rsidRDefault="00D8472E" w:rsidP="00D8472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Intelligent methods for assessing the technical condition and resource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efficiency of electrical equipment.</w:t>
            </w:r>
          </w:p>
        </w:tc>
      </w:tr>
      <w:tr w:rsidR="00D8472E" w:rsidTr="003F0807">
        <w:tc>
          <w:tcPr>
            <w:tcW w:w="4124" w:type="dxa"/>
          </w:tcPr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D8472E" w:rsidRPr="00E34C93" w:rsidRDefault="00D8472E" w:rsidP="00D8472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Third (Doctor of Philosophy)</w:t>
            </w:r>
          </w:p>
        </w:tc>
      </w:tr>
      <w:tr w:rsidR="00D8472E" w:rsidTr="003F0807">
        <w:tc>
          <w:tcPr>
            <w:tcW w:w="4124" w:type="dxa"/>
          </w:tcPr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D8472E" w:rsidRPr="00E34C93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2nd year</w:t>
            </w:r>
          </w:p>
        </w:tc>
      </w:tr>
      <w:tr w:rsidR="00D8472E" w:rsidTr="003F0807">
        <w:tc>
          <w:tcPr>
            <w:tcW w:w="4124" w:type="dxa"/>
          </w:tcPr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D8472E" w:rsidRPr="00E34C93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4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ECTS credits</w:t>
            </w:r>
          </w:p>
        </w:tc>
      </w:tr>
      <w:tr w:rsidR="00D8472E" w:rsidTr="003F0807">
        <w:tc>
          <w:tcPr>
            <w:tcW w:w="4124" w:type="dxa"/>
          </w:tcPr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D8472E" w:rsidRPr="00E34C93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Ukrainian</w:t>
            </w:r>
          </w:p>
        </w:tc>
      </w:tr>
      <w:tr w:rsidR="00D8472E" w:rsidTr="003F0807">
        <w:tc>
          <w:tcPr>
            <w:tcW w:w="4124" w:type="dxa"/>
          </w:tcPr>
          <w:p w:rsidR="00D8472E" w:rsidRPr="00C332F5" w:rsidRDefault="00D8472E" w:rsidP="003F0807">
            <w:pPr>
              <w:rPr>
                <w:rFonts w:ascii="Times" w:eastAsia="Times New Roman" w:hAnsi="Times" w:cs="Times"/>
                <w:b/>
                <w:bCs/>
                <w:sz w:val="18"/>
                <w:szCs w:val="18"/>
                <w:lang w:val="uk-UA" w:eastAsia="ru-RU"/>
              </w:rPr>
            </w:pPr>
            <w:r w:rsidRPr="00C332F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D8472E" w:rsidRPr="00E34C93" w:rsidRDefault="00D8472E" w:rsidP="00D8472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Renewable energy sources</w:t>
            </w:r>
          </w:p>
        </w:tc>
      </w:tr>
      <w:tr w:rsidR="00D8472E" w:rsidRPr="00D8472E" w:rsidTr="003F0807">
        <w:tc>
          <w:tcPr>
            <w:tcW w:w="4124" w:type="dxa"/>
          </w:tcPr>
          <w:p w:rsidR="00D8472E" w:rsidRPr="00E34C93" w:rsidRDefault="00D8472E" w:rsidP="003F0807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8472E" w:rsidRPr="006059F8" w:rsidRDefault="00D8472E" w:rsidP="00D8472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General knowledge of computer science, the theory of transients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power system,, basics of operation and modes of operation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electrical equipment and power plants, control modes</w:t>
            </w:r>
          </w:p>
          <w:p w:rsidR="00D8472E" w:rsidRPr="00E34C93" w:rsidRDefault="00D8472E" w:rsidP="00D8472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power plants, the theory of electric machines and transformers,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electrical devices, basics of relay protection and automation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power systems, theories of reliability of power systems</w:t>
            </w:r>
          </w:p>
        </w:tc>
      </w:tr>
      <w:tr w:rsidR="00D8472E" w:rsidRPr="007A0D18" w:rsidTr="003F0807">
        <w:tc>
          <w:tcPr>
            <w:tcW w:w="4124" w:type="dxa"/>
          </w:tcPr>
          <w:p w:rsidR="00D8472E" w:rsidRPr="00E34C93" w:rsidRDefault="00D8472E" w:rsidP="003F0807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Methodical bases of a complex estimation of a technical condition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gramStart"/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electrical 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equipment</w:t>
            </w:r>
            <w:proofErr w:type="gramEnd"/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. 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Problems and tasks of modern vehicle assessment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electrical equipment, existing strategies for maintenance and repair of electrical equipment.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Assessment of the technical condition of electrical equipment </w:t>
            </w:r>
            <w:proofErr w:type="gram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as a</w:t>
            </w:r>
            <w:proofErr w:type="gram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whole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controlled parameters. The model of resource costs is generalized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equipment taking int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o account operational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factors. Deterministic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models for determining the triggered power and switching resource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power</w:t>
            </w:r>
            <w:proofErr w:type="gram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systems equipment. Modern concepts of information systems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diagnostics of electrical equipment. The main types and directions of development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systems of technical diagnostics of electrical equipment of power systems.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Tasks of technical diagnostics in electric power industry. Features of assessment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technical condition of electrical equipment. </w:t>
            </w: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Intelligent Technology in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tasks of diagnosing TC electrical equipment. From the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application of theory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fuzzy</w:t>
            </w:r>
            <w:proofErr w:type="gram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sets, fuzzy logic, fuzzy knowledge bases for vehicle evaluation.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Basic concepts of artificial neural networks (ARN) and their use in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tasks</w:t>
            </w:r>
            <w:proofErr w:type="gram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of identification of the vehicle of electric equipment. Segmentation of park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electrical equipment by cluster analysis methods. </w:t>
            </w: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Neuronal adaptation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fuzzy models for assessing the vehicle's electrical equipment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, settings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fuzzy knowledge bases for state classification problems, application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genetic algorithms for setting up linguistic evaluation models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TC equipment and training of neural networks, algorithms and methods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training of artificial neural networks. . Setting up fuzzy knowledge bases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Mamdani</w:t>
            </w:r>
            <w:proofErr w:type="spell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and </w:t>
            </w:r>
            <w:proofErr w:type="spell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Sugeno</w:t>
            </w:r>
            <w:proofErr w:type="spell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. </w:t>
            </w: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Modern methods of forecasting vehicles and resources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electrical equipment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Problems and tasks of ensuring reliable</w:t>
            </w:r>
          </w:p>
          <w:p w:rsidR="00D8472E" w:rsidRPr="00E34C93" w:rsidRDefault="007A0D18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forecast of the vehicle and the resource of electrical equipment of power systems, Characteristics of existing traditional forecasting methods,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Forecasting of resource and mode parameters of electric power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facilities using ANN. </w:t>
            </w:r>
            <w:r w:rsidRPr="007A0D18">
              <w:rPr>
                <w:rFonts w:ascii="Times" w:eastAsia="Times New Roman" w:hAnsi="Times" w:cs="Times"/>
                <w:b/>
                <w:color w:val="000000"/>
                <w:sz w:val="19"/>
                <w:szCs w:val="19"/>
                <w:lang w:val="en-US" w:eastAsia="ru-RU"/>
              </w:rPr>
              <w:t>Linguistic models of assessment of vehicles and resource of power and switching equipment of power systems</w:t>
            </w:r>
            <w:r w:rsidRPr="007A0D1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, formation of a hierarchical structure of fuzzy logical conclusion about the technical condition of electrical equipment</w:t>
            </w:r>
          </w:p>
        </w:tc>
      </w:tr>
      <w:tr w:rsidR="00D8472E" w:rsidRPr="007A0D18" w:rsidTr="003F0807">
        <w:tc>
          <w:tcPr>
            <w:tcW w:w="4124" w:type="dxa"/>
          </w:tcPr>
          <w:p w:rsidR="00D8472E" w:rsidRPr="00E34C93" w:rsidRDefault="00D8472E" w:rsidP="003F0807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Objectively, there is a significant level of wear and tear today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electrical equipment of modern power systems leads to an increase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probability of their failure, the risk of accidents in the power system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An important task is to choose the right process management strategy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operation of electrical equipment, this requires the creation of models</w:t>
            </w:r>
          </w:p>
          <w:p w:rsidR="00D8472E" w:rsidRPr="00E34C93" w:rsidRDefault="007A0D18" w:rsidP="007A0D1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assessment</w:t>
            </w:r>
            <w:proofErr w:type="gram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and forecasting of technical condition and service life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electrical equipment based on the use of modern information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technologies, making optimal decisions to extend the term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its operation or replacement.</w:t>
            </w:r>
          </w:p>
        </w:tc>
      </w:tr>
      <w:tr w:rsidR="00D8472E" w:rsidRPr="002073A1" w:rsidTr="003F0807">
        <w:trPr>
          <w:trHeight w:val="232"/>
        </w:trPr>
        <w:tc>
          <w:tcPr>
            <w:tcW w:w="4124" w:type="dxa"/>
          </w:tcPr>
          <w:p w:rsidR="00D8472E" w:rsidRPr="00E34C93" w:rsidRDefault="00D8472E" w:rsidP="003F0807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select and create new models for assessing the technical condition and resources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efficiency of electrical equipment using modern IT-technologies .; to form a strategy of technical condition management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equipment taking into account the results of diagnosis; Elaborate</w:t>
            </w:r>
          </w:p>
          <w:p w:rsidR="00D8472E" w:rsidRPr="002073A1" w:rsidRDefault="007A0D18" w:rsidP="007A0D1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gram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models</w:t>
            </w:r>
            <w:proofErr w:type="gram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of electrical equipment failures for mode reliability analysis and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risks in the EEC.</w:t>
            </w:r>
          </w:p>
        </w:tc>
      </w:tr>
      <w:tr w:rsidR="00D8472E" w:rsidRPr="00361281" w:rsidTr="003F0807">
        <w:tc>
          <w:tcPr>
            <w:tcW w:w="4124" w:type="dxa"/>
          </w:tcPr>
          <w:p w:rsidR="00D8472E" w:rsidRPr="00E34C93" w:rsidRDefault="00D8472E" w:rsidP="003F0807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D8472E" w:rsidRPr="00E34C93" w:rsidRDefault="00D8472E" w:rsidP="003F0807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graduate student will be able to: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bCs/>
                <w:color w:val="000000"/>
                <w:sz w:val="19"/>
                <w:szCs w:val="19"/>
                <w:lang w:val="en-US" w:eastAsia="ru-RU"/>
              </w:rPr>
              <w:t>1.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Have a modern methodology for comprehensive assessment of vehicles and strategies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MOT and repair of electrical equipment;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2. Choose the most informative diagnostic signs of the condition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electrical equipment, perform formalization of heuristic and expert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information;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3.Develop new models for assessing the technical condition of electrical equipment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using modern information technologies;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4. Carry out the adaptation of linguistic models to real conditions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operation;</w:t>
            </w:r>
          </w:p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5..Apply modern methods of forecasting the technical condition and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electrical equipment resource to select the optimal strategy for it</w:t>
            </w:r>
          </w:p>
          <w:p w:rsidR="00D8472E" w:rsidRPr="00E34C93" w:rsidRDefault="007A0D18" w:rsidP="007A0D1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operation</w:t>
            </w:r>
            <w:proofErr w:type="gram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.</w:t>
            </w:r>
          </w:p>
        </w:tc>
      </w:tr>
      <w:tr w:rsidR="00D8472E" w:rsidRPr="007A0D18" w:rsidTr="003F0807">
        <w:trPr>
          <w:trHeight w:val="973"/>
        </w:trPr>
        <w:tc>
          <w:tcPr>
            <w:tcW w:w="4124" w:type="dxa"/>
          </w:tcPr>
          <w:p w:rsidR="00D8472E" w:rsidRPr="00E34C93" w:rsidRDefault="00D8472E" w:rsidP="003F0807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A0D18" w:rsidRPr="006059F8" w:rsidRDefault="007A0D18" w:rsidP="007A0D18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Curriculum and working programs of the discipline, RSO, educational and methodical</w:t>
            </w:r>
          </w:p>
          <w:p w:rsidR="00D8472E" w:rsidRPr="00E34C93" w:rsidRDefault="007A0D18" w:rsidP="007A0D1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materials</w:t>
            </w:r>
            <w:proofErr w:type="gram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(lecture notes, computer workshops, methodical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instructions for studying the discipline and computer workshops).</w:t>
            </w:r>
          </w:p>
        </w:tc>
      </w:tr>
      <w:tr w:rsidR="00D8472E" w:rsidRPr="002073A1" w:rsidTr="003F0807">
        <w:tc>
          <w:tcPr>
            <w:tcW w:w="4124" w:type="dxa"/>
          </w:tcPr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D8472E" w:rsidRPr="00E34C93" w:rsidRDefault="007A0D18" w:rsidP="007A0D1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computer</w:t>
            </w:r>
            <w:proofErr w:type="gramEnd"/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workshops, performance of modular control work,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home control work.</w:t>
            </w:r>
          </w:p>
        </w:tc>
      </w:tr>
      <w:tr w:rsidR="00D8472E" w:rsidTr="003F0807">
        <w:tc>
          <w:tcPr>
            <w:tcW w:w="4124" w:type="dxa"/>
          </w:tcPr>
          <w:p w:rsidR="00D8472E" w:rsidRDefault="00D8472E" w:rsidP="003F0807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D8472E" w:rsidRPr="00E34C93" w:rsidRDefault="007A0D18" w:rsidP="007A0D1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59F8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Examination</w:t>
            </w:r>
          </w:p>
        </w:tc>
      </w:tr>
    </w:tbl>
    <w:p w:rsidR="00D8472E" w:rsidRDefault="00D8472E" w:rsidP="006059F8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9500AF" w:rsidRPr="006059F8" w:rsidRDefault="009500AF">
      <w:pPr>
        <w:rPr>
          <w:lang w:val="en-US"/>
        </w:rPr>
      </w:pPr>
    </w:p>
    <w:sectPr w:rsidR="009500AF" w:rsidRPr="006059F8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59F8"/>
    <w:rsid w:val="002C6A9A"/>
    <w:rsid w:val="002F0FD9"/>
    <w:rsid w:val="004043D6"/>
    <w:rsid w:val="006059F8"/>
    <w:rsid w:val="007A0D18"/>
    <w:rsid w:val="007E61B2"/>
    <w:rsid w:val="009500AF"/>
    <w:rsid w:val="00AA4B0F"/>
    <w:rsid w:val="00D8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2021-04-30T10:12:00Z</dcterms:created>
  <dcterms:modified xsi:type="dcterms:W3CDTF">2021-04-30T12:00:00Z</dcterms:modified>
</cp:coreProperties>
</file>