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3D591B" w:rsidRPr="00C73632" w:rsidTr="005D48CD">
        <w:tc>
          <w:tcPr>
            <w:tcW w:w="4124" w:type="dxa"/>
            <w:shd w:val="clear" w:color="auto" w:fill="C6D9F1" w:themeFill="text2" w:themeFillTint="33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i/>
                <w:iCs/>
                <w:sz w:val="18"/>
                <w:szCs w:val="18"/>
                <w:lang w:val="en-US" w:eastAsia="ru-RU"/>
              </w:rPr>
              <w:t>Modern methods and models of analysis of regime reliability</w:t>
            </w:r>
            <w:r w:rsidRPr="00C73632">
              <w:rPr>
                <w:rFonts w:ascii="Times" w:eastAsia="Times New Roman" w:hAnsi="Times" w:cs="Times"/>
                <w:b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i/>
                <w:iCs/>
                <w:sz w:val="18"/>
                <w:szCs w:val="18"/>
                <w:lang w:val="en-US" w:eastAsia="ru-RU"/>
              </w:rPr>
              <w:t xml:space="preserve">power systems 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3D591B" w:rsidRPr="00C73632" w:rsidRDefault="003D591B" w:rsidP="003D591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Renewable energy sources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D591B" w:rsidRPr="00C73632" w:rsidRDefault="003D591B" w:rsidP="003D591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Knowledge of the theory of electromagnetic transients and electromechanical processes in the power system, calculation of steady-state modes, basics of operation and modes of operation of the electrical part of stations and substations, </w:t>
            </w:r>
          </w:p>
          <w:p w:rsidR="003D591B" w:rsidRPr="00C73632" w:rsidRDefault="003D591B" w:rsidP="003D591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control of power plants and systems, theory of electrical { {1}} machines, theories of reliability of electric power systems, basics of relay </w:t>
            </w:r>
          </w:p>
          <w:p w:rsidR="003D591B" w:rsidRPr="00C73632" w:rsidRDefault="003D591B" w:rsidP="003D591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protection</w:t>
            </w:r>
            <w:proofErr w:type="gramEnd"/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and automation of power systems. Intelligent methods for assessing the </w:t>
            </w:r>
          </w:p>
          <w:p w:rsidR="003D591B" w:rsidRPr="00C73632" w:rsidRDefault="003D591B" w:rsidP="003D591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technical</w:t>
            </w:r>
            <w:proofErr w:type="gramEnd"/>
            <w:r w:rsidRPr="00C7363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condition of electrical equipment.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main provisions and wording of reliability indicators in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electricity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Factors reducing the reliability of modern power systems. Influence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liberalization in the power industry on the reliability of power systems.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Technical condition and operating conditions of electrical equipment of modern power plants with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plants of different types. Features of functioning and tasks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ensuring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the reliability and safety of NPPs in case of equipment failures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Cascade development of emergency processes in the power system. Characteristic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scenarios of cascade accidents in the world power industry. Economic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mechanisms to ensure the reliability and survivability of the power system. Characteristic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problems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ensuring the balance reliability of the power system. Indexes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balance reliability of the power system Tasks of ensuring the regime reliability of the power system. Static mode reliability taking into account the development of failures. Evaluation and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static mode reliability control. Dynamic mode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reliability taking into account the development of accidents. Operating modes of EES at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equipment failures. Analysis of UES regime reliability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risk theory Methods and models of operational evaluation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risk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electric power facilities. Prioritization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decommissioning of EES electrical equipment. Decision making in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risk conditions. Probabilistic-statistical methods of regime estimation</w:t>
            </w:r>
          </w:p>
          <w:p w:rsidR="003D591B" w:rsidRPr="00475C5B" w:rsidRDefault="003D591B" w:rsidP="003D591B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reliability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EES. Quantitative indicators of the risk of abnormalities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 in case of electrical equipment failures Failure risk assessment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equipment under the influence of disturbances in the external electrical network.</w:t>
            </w:r>
          </w:p>
          <w:p w:rsidR="003D591B" w:rsidRPr="00C73632" w:rsidRDefault="003D591B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Modeling and risk assessment of the power supply system failure</w:t>
            </w:r>
            <w:r w:rsidR="00E96EF1"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NPPs from external energy sources.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Liberalization of the power industry, and an increase in the world in recent times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decades of major system failures exacerbate the problem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ensuring the reliability of the power system with power plants of different types; it</w:t>
            </w:r>
          </w:p>
          <w:p w:rsidR="003D591B" w:rsidRPr="00C73632" w:rsidRDefault="00E96EF1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requires</w:t>
            </w:r>
            <w:proofErr w:type="gram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students to master the principles and methods of construction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models of electrical equipment failures, simulation methodology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study of regime reliability, analysis and risk management in the EEC,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making preventive decisions to reduce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operational risks in the EEC.</w:t>
            </w:r>
          </w:p>
        </w:tc>
      </w:tr>
      <w:tr w:rsidR="003D591B" w:rsidRPr="00C73632" w:rsidTr="005D48CD">
        <w:trPr>
          <w:trHeight w:val="1460"/>
        </w:trPr>
        <w:tc>
          <w:tcPr>
            <w:tcW w:w="4124" w:type="dxa"/>
          </w:tcPr>
          <w:p w:rsidR="003D591B" w:rsidRPr="00C73632" w:rsidRDefault="003D591B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Why is it possible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</w:tc>
        <w:tc>
          <w:tcPr>
            <w:tcW w:w="4124" w:type="dxa"/>
          </w:tcPr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select and develop new models for determining the probability of failure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equipment using modern IT-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technologies, to study emergency regimes and to quantify</w:t>
            </w:r>
          </w:p>
          <w:p w:rsidR="003D591B" w:rsidRPr="00C73632" w:rsidRDefault="00E96EF1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indicators of risk of violation of the normal regime in case of failures and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decommissioning of electrical equipment, to develop preventive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measures to minimize the risk of operation of electrical equipment and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complex EES.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apply the basic provisions of systems theory for analysis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processes in the power system with power plants of different types;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use modern information technologies for development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models for assessing the risk of failure of electricity facilities;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apply the principles and methods of simulation for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of emergency modes of EES at failures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equipment;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perform calculations and analysis of electromechanical transients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processes in the UES with the NPP; assess the risk of system failure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supply to NPPs.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evaluate the regime reliability of EES subsystems on the basis of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probabilistic and statistical determination of risk indicators</w:t>
            </w:r>
          </w:p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occurrence of an emergency situation;</w:t>
            </w:r>
          </w:p>
          <w:p w:rsidR="003D591B" w:rsidRPr="00C73632" w:rsidRDefault="00E96EF1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▪ make optimal decisions to minimize risk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occurrence of emergency situations in the subsystems of the power system on the basis of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risk-oriented approach.</w:t>
            </w:r>
          </w:p>
        </w:tc>
      </w:tr>
      <w:tr w:rsidR="003D591B" w:rsidRPr="00C73632" w:rsidTr="00E96EF1">
        <w:trPr>
          <w:trHeight w:val="850"/>
        </w:trPr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D591B" w:rsidRPr="00C73632" w:rsidRDefault="00E96EF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Curriculum and working programs of the discipline, RSO, educational and methodical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materials (lecture notes, computer workshops), methodical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instructions for performing calculation and graphic work, computer</w:t>
            </w:r>
            <w:r w:rsidRPr="00C73632"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workshops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computer workshops, performance of modular control work,</w:t>
            </w:r>
          </w:p>
          <w:p w:rsidR="003D591B" w:rsidRPr="00C73632" w:rsidRDefault="00E96EF1" w:rsidP="00E96E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calculation and graphic work</w:t>
            </w:r>
          </w:p>
        </w:tc>
      </w:tr>
      <w:tr w:rsidR="003D591B" w:rsidRPr="00C73632" w:rsidTr="005D48CD">
        <w:tc>
          <w:tcPr>
            <w:tcW w:w="4124" w:type="dxa"/>
          </w:tcPr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363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E96EF1" w:rsidRPr="00475C5B" w:rsidRDefault="00E96EF1" w:rsidP="00E96E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Offset</w:t>
            </w:r>
            <w:proofErr w:type="spellEnd"/>
            <w:r w:rsidRPr="00475C5B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</w:t>
            </w:r>
          </w:p>
          <w:p w:rsidR="003D591B" w:rsidRPr="00C73632" w:rsidRDefault="003D591B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75C5B" w:rsidRPr="00475C5B" w:rsidRDefault="00475C5B" w:rsidP="00475C5B">
      <w:pPr>
        <w:spacing w:after="0" w:line="240" w:lineRule="auto"/>
        <w:rPr>
          <w:rFonts w:ascii="Times" w:eastAsia="Times New Roman" w:hAnsi="Times" w:cs="Times"/>
          <w:color w:val="000000"/>
          <w:sz w:val="15"/>
          <w:szCs w:val="15"/>
          <w:lang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5C5B"/>
    <w:rsid w:val="002C6A9A"/>
    <w:rsid w:val="003D591B"/>
    <w:rsid w:val="004043D6"/>
    <w:rsid w:val="00475C5B"/>
    <w:rsid w:val="007E61B2"/>
    <w:rsid w:val="009500AF"/>
    <w:rsid w:val="00AA4B0F"/>
    <w:rsid w:val="00C73632"/>
    <w:rsid w:val="00CE68D8"/>
    <w:rsid w:val="00E9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2021-04-26T11:40:00Z</dcterms:created>
  <dcterms:modified xsi:type="dcterms:W3CDTF">2021-04-26T11:55:00Z</dcterms:modified>
</cp:coreProperties>
</file>