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DF1508" w:rsidRPr="00DF1508" w:rsidTr="00DA3E04">
        <w:tc>
          <w:tcPr>
            <w:tcW w:w="4124" w:type="dxa"/>
            <w:shd w:val="clear" w:color="auto" w:fill="C6D9F1" w:themeFill="text2" w:themeFillTint="33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DF1508" w:rsidRPr="00DF1508" w:rsidRDefault="00DF1508" w:rsidP="00DF1508">
            <w:pPr>
              <w:rPr>
                <w:rFonts w:ascii="Times" w:eastAsia="Times New Roman" w:hAnsi="Times" w:cs="Times"/>
                <w:color w:val="00008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80"/>
                <w:sz w:val="20"/>
                <w:szCs w:val="20"/>
                <w:lang w:val="en-US" w:eastAsia="ru-RU"/>
              </w:rPr>
              <w:t>The use of power electronics in active systems</w:t>
            </w:r>
          </w:p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80"/>
                <w:sz w:val="20"/>
                <w:szCs w:val="20"/>
                <w:lang w:val="en-US" w:eastAsia="ru-RU"/>
              </w:rPr>
              <w:t>distribution of electric energy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Third (educational and scientific)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2nd year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3 ECTS credits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Ukrainian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sz w:val="20"/>
                <w:szCs w:val="20"/>
                <w:lang w:val="uk-UA" w:eastAsia="ru-RU"/>
              </w:rPr>
            </w:pPr>
            <w:r w:rsidRPr="00DF150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Power supply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Requirements for the beginning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discipline is based on the knowledge gained in the study of such disciplines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as: "Power electronics systems and controls in the power industry",</w:t>
            </w:r>
          </w:p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"System analysis of complex systems to provide consumers with electricity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 "," Electrical networks and systems "," Distribution systems</w:t>
            </w:r>
          </w:p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of electric energy and their management »,« Intelligent technologies in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 supply systems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"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What will be studied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General characteristics, principles of work and prospects of involvement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means of power electronics at construction and management of functioning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active power distribution systems. Features of use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 electronics devices to increase reliability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 supply, ensuring the quality of electricity, when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reactive power compensation and active flow control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capacity (soft open points technology) to minimize losses</w:t>
            </w:r>
          </w:p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electricity</w:t>
            </w:r>
            <w:proofErr w:type="gramEnd"/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.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that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interesting / necessary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study of the discipline will: master the knowledge of construction,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principles of functioning and features of use of force</w:t>
            </w:r>
          </w:p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electronics in distribution networks; gain the ability to justify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location of these funds and master the methods of rational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managing their work to ensure optimal system modes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distribution and consumption of electricity, taking into account the totality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technical and economic criteria.</w:t>
            </w:r>
          </w:p>
        </w:tc>
      </w:tr>
      <w:tr w:rsidR="00DF1508" w:rsidRPr="00DF1508" w:rsidTr="00DA3E04">
        <w:trPr>
          <w:trHeight w:val="232"/>
        </w:trPr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is it possible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learn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(results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teaching)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Perform simulation modeling of distribution networks with integrated in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them by various scattered means of generating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 storage and equipped with modern power devices</w:t>
            </w:r>
          </w:p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gramStart"/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electronics</w:t>
            </w:r>
            <w:proofErr w:type="gramEnd"/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, use modern methods of optimization and acceptance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solutions for centralized and decentralized regime management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active systems of distribution of electric energy in the conditions of use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 electronics.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As you can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use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acquired knowledge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and skills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(competencies)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acquired knowledge will allow to carry out complex researches connected with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optimal use of power electronics in the conditions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widespread introduction of renewable energy sources in distribution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networks,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manage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systems</w:t>
            </w:r>
          </w:p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distribution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electricity;</w:t>
            </w:r>
          </w:p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use the experience gained in the use of power electronics for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improving the efficiency and quality of power supply in the design,</w:t>
            </w:r>
          </w:p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reconstruction, development of electric power distribution systems; put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solve</w:t>
            </w:r>
          </w:p>
          <w:p w:rsidR="00DF1508" w:rsidRPr="0039019A" w:rsidRDefault="00DF1508" w:rsidP="00DF150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research tasks in these areas;</w:t>
            </w:r>
          </w:p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ensure</w:t>
            </w:r>
            <w:proofErr w:type="gramEnd"/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the quality of research and compliance with academic rules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integrity in the implementation of scientific and pedagogical activities.</w:t>
            </w:r>
          </w:p>
        </w:tc>
      </w:tr>
      <w:tr w:rsidR="00DF1508" w:rsidRPr="00DF1508" w:rsidTr="00DF1508">
        <w:trPr>
          <w:trHeight w:val="583"/>
        </w:trPr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Information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software</w:t>
            </w:r>
          </w:p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Syllabus, teaching materials (manuals, presentations for lectures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etc.)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Form of holding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DF1508" w:rsidRPr="00DF1508" w:rsidRDefault="00DF1508" w:rsidP="00DF1508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9019A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Lectures, practical classes</w:t>
            </w:r>
          </w:p>
        </w:tc>
      </w:tr>
      <w:tr w:rsidR="00DF1508" w:rsidRPr="00DF1508" w:rsidTr="00DA3E04"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Semester</w:t>
            </w:r>
            <w:proofErr w:type="spellEnd"/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50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DF1508" w:rsidRPr="00DF1508" w:rsidRDefault="00DF1508" w:rsidP="00DA3E0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150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</w:p>
        </w:tc>
      </w:tr>
    </w:tbl>
    <w:p w:rsidR="009500AF" w:rsidRPr="0039019A" w:rsidRDefault="009500AF">
      <w:pPr>
        <w:rPr>
          <w:lang w:val="en-US"/>
        </w:rPr>
      </w:pPr>
    </w:p>
    <w:sectPr w:rsidR="009500AF" w:rsidRPr="0039019A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9019A"/>
    <w:rsid w:val="002C6A9A"/>
    <w:rsid w:val="002D0F3B"/>
    <w:rsid w:val="0039019A"/>
    <w:rsid w:val="004043D6"/>
    <w:rsid w:val="007E61B2"/>
    <w:rsid w:val="009500AF"/>
    <w:rsid w:val="00AA4B0F"/>
    <w:rsid w:val="00DF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2471</Characters>
  <Application>Microsoft Office Word</Application>
  <DocSecurity>0</DocSecurity>
  <Lines>20</Lines>
  <Paragraphs>5</Paragraphs>
  <ScaleCrop>false</ScaleCrop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2021-05-14T06:54:00Z</dcterms:created>
  <dcterms:modified xsi:type="dcterms:W3CDTF">2021-05-14T08:14:00Z</dcterms:modified>
</cp:coreProperties>
</file>