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5447"/>
      </w:tblGrid>
      <w:tr w:rsidR="00E34C93" w:rsidTr="00E34C93">
        <w:tc>
          <w:tcPr>
            <w:tcW w:w="4124" w:type="dxa"/>
            <w:shd w:val="clear" w:color="auto" w:fill="C6D9F1" w:themeFill="text2" w:themeFillTint="33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  <w:shd w:val="clear" w:color="auto" w:fill="C6D9F1" w:themeFill="text2" w:themeFillTint="33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Analysis and synthesis of DC energy transmission systems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</w:tr>
      <w:tr w:rsidR="00E34C93" w:rsidTr="00E34C93">
        <w:tc>
          <w:tcPr>
            <w:tcW w:w="4124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5447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E34C93" w:rsidTr="00E34C93">
        <w:tc>
          <w:tcPr>
            <w:tcW w:w="4124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5447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>2</w:t>
            </w:r>
          </w:p>
        </w:tc>
      </w:tr>
      <w:tr w:rsidR="00E34C93" w:rsidTr="00E34C93">
        <w:tc>
          <w:tcPr>
            <w:tcW w:w="4124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5447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3 ECTS credits</w:t>
            </w:r>
          </w:p>
        </w:tc>
      </w:tr>
      <w:tr w:rsidR="00E34C93" w:rsidTr="00E34C93">
        <w:tc>
          <w:tcPr>
            <w:tcW w:w="4124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5447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Ukrainian</w:t>
            </w:r>
          </w:p>
        </w:tc>
      </w:tr>
      <w:tr w:rsidR="00E34C93" w:rsidTr="00E34C93">
        <w:tc>
          <w:tcPr>
            <w:tcW w:w="4124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5447" w:type="dxa"/>
          </w:tcPr>
          <w:p w:rsidR="00E34C93" w:rsidRDefault="00E34C93" w:rsidP="00320385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networks and systems</w:t>
            </w:r>
          </w:p>
        </w:tc>
      </w:tr>
      <w:tr w:rsidR="00E34C93" w:rsidTr="00E34C93">
        <w:tc>
          <w:tcPr>
            <w:tcW w:w="4124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study of the discipline is based on the knowledge of the following disciplines: "Methods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formation</w:t>
            </w:r>
          </w:p>
          <w:p w:rsidR="00E34C93" w:rsidRP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management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intellectual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energy systems and complexes "," Fundamentals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theories of electromagnetic field and processes "," Unconventional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renewable energy sources in power systems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complexes "," Monitoring, control and protection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power systems and electrical complexes",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"Foreign language for scientific activity"</w:t>
            </w:r>
          </w:p>
        </w:tc>
      </w:tr>
      <w:tr w:rsidR="00E34C93" w:rsidTr="00E34C93">
        <w:tc>
          <w:tcPr>
            <w:tcW w:w="4124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General characteristics of high-voltage direct current networks</w:t>
            </w:r>
          </w:p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HVDC. Integration of DC systems into power systems.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Mathematical models of HVDC. Protection of direct current networks.</w:t>
            </w:r>
          </w:p>
        </w:tc>
      </w:tr>
      <w:tr w:rsidR="00E34C93" w:rsidTr="00E34C93">
        <w:tc>
          <w:tcPr>
            <w:tcW w:w="4124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The study of the discipline will professionally solve the following problems: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perform analysis of mode parameters of AC systems with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lines and inserts of direct current, to create simulation models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electrical networks with lines and inserts of direct current,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apply DC line research tools and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methods of analysis of modes of operation of hybrid networks.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</w:p>
        </w:tc>
      </w:tr>
      <w:tr w:rsidR="00E34C93" w:rsidTr="00E34C93">
        <w:tc>
          <w:tcPr>
            <w:tcW w:w="4124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Perform an analysis of the modes of operation of AC networks with inserts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and direct current lines; synthesis of calculation schemes for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research of direct current transmission systems; develop simulations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mathematical models in </w:t>
            </w:r>
            <w:proofErr w:type="spellStart"/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MatLab</w:t>
            </w:r>
            <w:proofErr w:type="spellEnd"/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and Power Factory software environments</w:t>
            </w:r>
          </w:p>
        </w:tc>
      </w:tr>
      <w:tr w:rsidR="00E34C93" w:rsidTr="00E34C93">
        <w:tc>
          <w:tcPr>
            <w:tcW w:w="4124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Plan and perform simulation studies of AC systems with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lines and inserts of direct current and tangential interdisciplinary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directions using modern tools, understand the general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principles and methods of technical sciences, as well as scientific methodology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experimental research, apply them in their own research in</w:t>
            </w:r>
            <w:r>
              <w:rPr>
                <w:rFonts w:ascii="Times" w:eastAsia="Times New Roman" w:hAnsi="Times" w:cs="Times"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in</w:t>
            </w:r>
            <w:proofErr w:type="spellEnd"/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 xml:space="preserve"> the field of electrical engineering and in teaching practice.</w:t>
            </w:r>
          </w:p>
        </w:tc>
      </w:tr>
      <w:tr w:rsidR="00E34C93" w:rsidTr="00E34C93">
        <w:tc>
          <w:tcPr>
            <w:tcW w:w="4124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447" w:type="dxa"/>
          </w:tcPr>
          <w:p w:rsidR="00E34C93" w:rsidRPr="00E34C93" w:rsidRDefault="00E34C93" w:rsidP="00E34C93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Syllabus of discipline,</w:t>
            </w:r>
          </w:p>
          <w:p w:rsidR="00E34C93" w:rsidRP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hyperlink r:id="rId4" w:history="1">
              <w:r w:rsidRPr="00596892">
                <w:rPr>
                  <w:rStyle w:val="a4"/>
                  <w:rFonts w:ascii="Times" w:eastAsia="Times New Roman" w:hAnsi="Times" w:cs="Times"/>
                  <w:sz w:val="18"/>
                  <w:szCs w:val="18"/>
                  <w:lang w:val="en-US" w:eastAsia="ru-RU"/>
                </w:rPr>
                <w:t>https://classroom.google.com/c/MTUxNDQ0MzY5MTg5?cjc=m2shqxv</w:t>
              </w:r>
            </w:hyperlink>
          </w:p>
        </w:tc>
      </w:tr>
      <w:tr w:rsidR="00E34C93" w:rsidTr="00E34C93">
        <w:tc>
          <w:tcPr>
            <w:tcW w:w="4124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5447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  <w:t>Lectures</w:t>
            </w:r>
          </w:p>
        </w:tc>
      </w:tr>
      <w:tr w:rsidR="00E34C93" w:rsidTr="00E34C93">
        <w:tc>
          <w:tcPr>
            <w:tcW w:w="4124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5447" w:type="dxa"/>
          </w:tcPr>
          <w:p w:rsidR="00E34C93" w:rsidRDefault="00E34C93" w:rsidP="00E34C93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color w:val="000000"/>
                <w:sz w:val="18"/>
                <w:szCs w:val="18"/>
                <w:lang w:eastAsia="ru-RU"/>
              </w:rPr>
              <w:t>Test</w:t>
            </w:r>
            <w:proofErr w:type="spellEnd"/>
          </w:p>
        </w:tc>
      </w:tr>
    </w:tbl>
    <w:p w:rsidR="00E34C93" w:rsidRDefault="00E34C93" w:rsidP="00E34C93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8"/>
          <w:szCs w:val="18"/>
          <w:lang w:val="uk-UA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34C93"/>
    <w:rsid w:val="002C6A9A"/>
    <w:rsid w:val="00320385"/>
    <w:rsid w:val="004043D6"/>
    <w:rsid w:val="007E61B2"/>
    <w:rsid w:val="009500AF"/>
    <w:rsid w:val="00AA4B0F"/>
    <w:rsid w:val="00CB5E18"/>
    <w:rsid w:val="00E3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4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34C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MTUxNDQ0MzY5MTg5?cjc=m2shqx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349</Words>
  <Characters>1995</Characters>
  <Application>Microsoft Office Word</Application>
  <DocSecurity>0</DocSecurity>
  <Lines>16</Lines>
  <Paragraphs>4</Paragraphs>
  <ScaleCrop>false</ScaleCrop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2021-04-20T07:47:00Z</dcterms:created>
  <dcterms:modified xsi:type="dcterms:W3CDTF">2021-04-20T07:58:00Z</dcterms:modified>
</cp:coreProperties>
</file>