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8B" w:rsidRDefault="00454E8B" w:rsidP="003C04F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454E8B" w:rsidRDefault="00454E8B" w:rsidP="003C04F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4124"/>
        <w:gridCol w:w="4124"/>
      </w:tblGrid>
      <w:tr w:rsidR="00454E8B" w:rsidRPr="00454E8B" w:rsidTr="00645C6C">
        <w:tc>
          <w:tcPr>
            <w:tcW w:w="4124" w:type="dxa"/>
            <w:shd w:val="clear" w:color="auto" w:fill="C6D9F1" w:themeFill="text2" w:themeFillTint="33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  <w:shd w:val="clear" w:color="auto" w:fill="C6D9F1" w:themeFill="text2" w:themeFillTint="33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Operating modes of wind power plants in power plants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systems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Third (educational and scientific)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2nd year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3 ECTS credits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Ukrainian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Renewable energy sources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RPr="00454E8B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discipline is based on the knowledge gained by students during the study</w:t>
            </w:r>
          </w:p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wind</w:t>
            </w:r>
            <w:proofErr w:type="gramEnd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energy course.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54E8B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Scientific principles of methods, organizational and technological measures</w:t>
            </w:r>
          </w:p>
          <w:p w:rsidR="00454E8B" w:rsidRPr="00E34C93" w:rsidRDefault="00454E8B" w:rsidP="00454E8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conducting research in the field of wind energy</w:t>
            </w:r>
          </w:p>
        </w:tc>
      </w:tr>
      <w:tr w:rsidR="00454E8B" w:rsidRPr="00454E8B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E34C93" w:rsidRDefault="00454E8B" w:rsidP="00454E8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Formation of a system of abilities to set and solve complex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scientific tasks during research and innovation activities in the field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wind energy.</w:t>
            </w:r>
          </w:p>
        </w:tc>
      </w:tr>
      <w:tr w:rsidR="00454E8B" w:rsidRPr="0083684C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Apply the necessary research methods in the development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scientific works; use special methods when performing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scientific research; organize and conduct research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 the process of preparing the dissertation; carry out testing and implementation</w:t>
            </w:r>
          </w:p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research results in practice; have search skills</w:t>
            </w:r>
          </w:p>
          <w:p w:rsidR="00454E8B" w:rsidRPr="00E34C93" w:rsidRDefault="00454E8B" w:rsidP="00454E8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independent</w:t>
            </w:r>
            <w:proofErr w:type="gramEnd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solution of scientific </w:t>
            </w:r>
            <w:proofErr w:type="spell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roblems</w:t>
            </w:r>
            <w:proofErr w:type="spellEnd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; choose scientific topics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work.</w:t>
            </w:r>
          </w:p>
        </w:tc>
      </w:tr>
      <w:tr w:rsidR="00454E8B" w:rsidRPr="00454E8B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Ability to perform original research, to achieve scientific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results that create new knowledge in the field of wind energy;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ability to present and discuss results orally and in writing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research in Ukrainian and English; ability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to solve scientific problems of increasing reliability and efficiency</w:t>
            </w:r>
          </w:p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operation of wind power systems, conditioned by necessity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ensuring sustainable development of the state; ability to detect, put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to solve research problems in the field of wind energy,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evaluate and ensure the quality of research; ability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</w:p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adhere to research ethics as well as academic rules</w:t>
            </w:r>
          </w:p>
          <w:p w:rsidR="00454E8B" w:rsidRPr="00E34C93" w:rsidRDefault="00454E8B" w:rsidP="00454E8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integrity</w:t>
            </w:r>
            <w:proofErr w:type="gramEnd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in scientific research and scientific and pedagogical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activities.</w:t>
            </w:r>
          </w:p>
        </w:tc>
      </w:tr>
      <w:tr w:rsidR="00454E8B" w:rsidTr="00645C6C">
        <w:tc>
          <w:tcPr>
            <w:tcW w:w="4124" w:type="dxa"/>
          </w:tcPr>
          <w:p w:rsidR="00454E8B" w:rsidRPr="00E34C93" w:rsidRDefault="00454E8B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454E8B" w:rsidRPr="003C04F9" w:rsidRDefault="00454E8B" w:rsidP="00454E8B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>1.</w:t>
            </w:r>
            <w:proofErr w:type="spell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Sylabus</w:t>
            </w:r>
            <w:proofErr w:type="spellEnd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>.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2. ДСТУ 3896:2007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Вітроенергетичні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установки та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вітроелектричні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станції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Терміни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визначення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Держспоживчстандарт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України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2008.-24с.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3.Шефтер Я.И. Использование энергии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ветра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Энергоатомиздат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 1983.-200с.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4.Сазонов В.А., Белопольский В.А., Смирнов С.Б. Некоторые вопросы  конструирования и экстремальных режимов работы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ветроэлектроустановок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с горизонтальной осью вращения: Учебное 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пособие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Севастополь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: СНИЯЭиП,2004.-208с.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5.Фатеев Е.М. Ветродвигатели и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ветроустановки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–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.:Госиздат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с.х.  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лит.,1957. – 538с.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6.Кривцов В.С., Олейников А.М., Яковлев А.И. Неисчерпаемая энергия. Кн.1, 2.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Ветроэлектрогенераторы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.- Харьков: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Нац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Аэрокосм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н-т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«ХАИ», Севастополь: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Сев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ац.техн.ун-т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2003. –400с.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7.Ветроэнергетика. </w:t>
            </w:r>
            <w:proofErr w:type="spellStart"/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Д.де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Рензо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.– М.: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Энергоатомиздат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1982.– 272с.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8.Кашафутдинов С.Т., Лушин В.Н. Атлас аэродинамических Крыловых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профилей. – Новосибирск:, 1994. – 76с. </w:t>
            </w:r>
          </w:p>
          <w:p w:rsid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9.Андрианов В.Н.,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Быстрицкий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Д.Н.,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Вашкевич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К.П., Секторов В.Р. Ветроэлектрические станции. – М.-Л.: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Госэнергоиздат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, 1960. –320с.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10.Вітроенергетика [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Електронний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ресурс] 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навч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пос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іб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для студ.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спеціальності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141 «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Електроенергетика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електротехніка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електромеханіка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» / Головко В. М.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КПІ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Ігоря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Сікорського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–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Електронні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текстові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дані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(1 файл: 5,5 Мбайт). –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Київ</w:t>
            </w:r>
            <w:proofErr w:type="spellEnd"/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КПІ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Ігоря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Сікорського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2019. – 88 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Additional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1.ДСТУ 2275-93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Енергоощадність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Нетрадиційні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поновлювані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джерел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енергії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Терміни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визначення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Держстандарт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України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, 1994.-52с.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2.Свешников А.А. Прикладные методы теории случайных функций.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–М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Наука, 1968. -464с.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3.Сигорский В.П. Математический аппарат инженера.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Техніка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., 197</w:t>
            </w:r>
            <w:r w:rsidRPr="00B172B2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6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-768с.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</w:pP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4. Дубров 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A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M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Мхитарян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B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C</w:t>
            </w:r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Трошин</w:t>
            </w:r>
            <w:proofErr w:type="gram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Л.И. Многомерные </w:t>
            </w: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статисти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E8B" w:rsidRPr="00454E8B" w:rsidRDefault="00454E8B" w:rsidP="00454E8B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>ческие</w:t>
            </w:r>
            <w:proofErr w:type="spellEnd"/>
            <w:r w:rsidRPr="00454E8B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eastAsia="ru-RU"/>
              </w:rPr>
              <w:t xml:space="preserve"> методы: Учебник. — М.: Финансы и статистика, 2000.—352с.</w:t>
            </w:r>
          </w:p>
        </w:tc>
      </w:tr>
      <w:tr w:rsidR="00454E8B" w:rsidRPr="0083684C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454E8B" w:rsidRPr="00E34C93" w:rsidRDefault="00B172B2" w:rsidP="00B172B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Classes are held in the form of lectures using a demonstration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material. Lectures are informative and problematic.</w:t>
            </w:r>
          </w:p>
        </w:tc>
      </w:tr>
      <w:tr w:rsidR="00454E8B" w:rsidTr="00645C6C">
        <w:tc>
          <w:tcPr>
            <w:tcW w:w="4124" w:type="dxa"/>
          </w:tcPr>
          <w:p w:rsidR="00454E8B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B172B2" w:rsidRPr="003C04F9" w:rsidRDefault="00B172B2" w:rsidP="00B172B2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C04F9"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>Test</w:t>
            </w:r>
            <w:proofErr w:type="spellEnd"/>
          </w:p>
          <w:p w:rsidR="00454E8B" w:rsidRPr="00E34C93" w:rsidRDefault="00454E8B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54E8B" w:rsidRDefault="00454E8B" w:rsidP="003C04F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04F9"/>
    <w:rsid w:val="002C6A9A"/>
    <w:rsid w:val="003C04F9"/>
    <w:rsid w:val="004043D6"/>
    <w:rsid w:val="00454E8B"/>
    <w:rsid w:val="005B6BE8"/>
    <w:rsid w:val="007E61B2"/>
    <w:rsid w:val="009500AF"/>
    <w:rsid w:val="00AA4B0F"/>
    <w:rsid w:val="00B1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2021-04-21T08:16:00Z</dcterms:created>
  <dcterms:modified xsi:type="dcterms:W3CDTF">2021-04-21T08:26:00Z</dcterms:modified>
</cp:coreProperties>
</file>